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2451" w:rsidRPr="00D84951" w:rsidRDefault="00A3000B" w:rsidP="00192451">
      <w:pPr>
        <w:pStyle w:val="Titre1"/>
        <w:shd w:val="clear" w:color="auto" w:fill="ED7D31" w:themeFill="accent2"/>
        <w:jc w:val="center"/>
        <w:rPr>
          <w:rFonts w:eastAsia="Times New Roman"/>
          <w:color w:val="E2EFD9" w:themeColor="accent6" w:themeTint="33"/>
          <w:lang w:eastAsia="fr-FR"/>
        </w:rPr>
      </w:pPr>
      <w:r>
        <w:rPr>
          <w:rFonts w:eastAsia="Times New Roman"/>
          <w:color w:val="E2EFD9" w:themeColor="accent6" w:themeTint="33"/>
          <w:lang w:eastAsia="fr-FR"/>
        </w:rPr>
        <w:t xml:space="preserve">Les </w:t>
      </w:r>
      <w:r w:rsidR="00192451" w:rsidRPr="00D84951">
        <w:rPr>
          <w:rFonts w:eastAsia="Times New Roman"/>
          <w:color w:val="E2EFD9" w:themeColor="accent6" w:themeTint="33"/>
          <w:lang w:eastAsia="fr-FR"/>
        </w:rPr>
        <w:t xml:space="preserve">Plans Climat Air Energie Territoriaux </w:t>
      </w:r>
      <w:r>
        <w:rPr>
          <w:rFonts w:eastAsia="Times New Roman"/>
          <w:color w:val="E2EFD9" w:themeColor="accent6" w:themeTint="33"/>
          <w:lang w:eastAsia="fr-FR"/>
        </w:rPr>
        <w:t>en</w:t>
      </w:r>
      <w:r w:rsidR="00192451" w:rsidRPr="00D84951">
        <w:rPr>
          <w:rFonts w:eastAsia="Times New Roman"/>
          <w:color w:val="E2EFD9" w:themeColor="accent6" w:themeTint="33"/>
          <w:lang w:eastAsia="fr-FR"/>
        </w:rPr>
        <w:t xml:space="preserve"> Hauts de France</w:t>
      </w:r>
    </w:p>
    <w:p w:rsidR="00A3000B" w:rsidRDefault="00A3000B" w:rsidP="000F4A7A">
      <w:pPr>
        <w:ind w:left="708"/>
        <w:rPr>
          <w:color w:val="C45911" w:themeColor="accent2" w:themeShade="BF"/>
          <w:lang w:eastAsia="fr-FR"/>
        </w:rPr>
      </w:pPr>
    </w:p>
    <w:p w:rsidR="00E43587" w:rsidRPr="000171D2" w:rsidRDefault="00E43587" w:rsidP="00E43587">
      <w:pPr>
        <w:spacing w:before="100" w:beforeAutospacing="1" w:after="100" w:afterAutospacing="1" w:line="240" w:lineRule="auto"/>
        <w:jc w:val="both"/>
        <w:rPr>
          <w:rFonts w:eastAsia="Times New Roman" w:cs="Times New Roman"/>
          <w:b/>
          <w:sz w:val="24"/>
          <w:szCs w:val="24"/>
          <w:lang w:eastAsia="fr-FR"/>
        </w:rPr>
      </w:pPr>
      <w:r w:rsidRPr="00E43587">
        <w:rPr>
          <w:rFonts w:eastAsia="Times New Roman" w:cs="Times New Roman"/>
          <w:sz w:val="24"/>
          <w:szCs w:val="24"/>
          <w:lang w:eastAsia="fr-FR"/>
        </w:rPr>
        <w:t xml:space="preserve">Dans l’objectif de mettre en œuvre les objectifs internationaux et européens en matière de Climat et d’Energie au niveau territorial, la France s’est dotée d’un outil règlementaire : </w:t>
      </w:r>
      <w:r w:rsidRPr="000171D2">
        <w:rPr>
          <w:rFonts w:eastAsia="Times New Roman" w:cs="Times New Roman"/>
          <w:b/>
          <w:sz w:val="24"/>
          <w:szCs w:val="24"/>
          <w:lang w:eastAsia="fr-FR"/>
        </w:rPr>
        <w:t xml:space="preserve">le Plan Climat Air Energie Territorial. </w:t>
      </w:r>
    </w:p>
    <w:p w:rsidR="000171D2" w:rsidRPr="000171D2" w:rsidRDefault="00A42D98" w:rsidP="00E43587">
      <w:pPr>
        <w:spacing w:before="100" w:beforeAutospacing="1" w:after="100" w:afterAutospacing="1" w:line="240" w:lineRule="auto"/>
        <w:jc w:val="both"/>
        <w:rPr>
          <w:rFonts w:eastAsia="Times New Roman" w:cs="Times New Roman"/>
          <w:b/>
          <w:sz w:val="24"/>
          <w:szCs w:val="24"/>
          <w:lang w:eastAsia="fr-FR"/>
        </w:rPr>
      </w:pPr>
      <w:r>
        <w:rPr>
          <w:rFonts w:eastAsia="Times New Roman" w:cs="Times New Roman"/>
          <w:b/>
          <w:sz w:val="24"/>
          <w:szCs w:val="24"/>
          <w:lang w:eastAsia="fr-FR"/>
        </w:rPr>
        <w:t>Qu’est-</w:t>
      </w:r>
      <w:r w:rsidR="000171D2" w:rsidRPr="000171D2">
        <w:rPr>
          <w:rFonts w:eastAsia="Times New Roman" w:cs="Times New Roman"/>
          <w:b/>
          <w:sz w:val="24"/>
          <w:szCs w:val="24"/>
          <w:lang w:eastAsia="fr-FR"/>
        </w:rPr>
        <w:t>ce qu’un PCAET ?</w:t>
      </w:r>
    </w:p>
    <w:p w:rsidR="000171D2" w:rsidRPr="000171D2" w:rsidRDefault="000171D2" w:rsidP="000171D2">
      <w:pPr>
        <w:shd w:val="clear" w:color="auto" w:fill="FFFFFF"/>
        <w:spacing w:before="60" w:after="60" w:line="240" w:lineRule="auto"/>
        <w:jc w:val="both"/>
        <w:rPr>
          <w:rFonts w:eastAsia="Times New Roman" w:cs="Times New Roman"/>
          <w:spacing w:val="8"/>
          <w:sz w:val="24"/>
          <w:szCs w:val="24"/>
          <w:lang w:eastAsia="fr-FR"/>
        </w:rPr>
      </w:pPr>
      <w:r w:rsidRPr="000171D2">
        <w:rPr>
          <w:rFonts w:eastAsia="Times New Roman" w:cs="Times New Roman"/>
          <w:spacing w:val="8"/>
          <w:sz w:val="24"/>
          <w:szCs w:val="24"/>
          <w:lang w:eastAsia="fr-FR"/>
        </w:rPr>
        <w:t xml:space="preserve">Un PCAET est un projet de territoire axé sur la réduction des émissions de gaz à effet de serre, la réduction de la dépendance énergétique et la limitation de la vulnérabilité climatique en permettant d’adapter les territoires sur les court, moyen et long termes. Cette démarche participative est </w:t>
      </w:r>
      <w:proofErr w:type="spellStart"/>
      <w:r w:rsidRPr="000171D2">
        <w:rPr>
          <w:rFonts w:eastAsia="Times New Roman" w:cs="Times New Roman"/>
          <w:spacing w:val="8"/>
          <w:sz w:val="24"/>
          <w:szCs w:val="24"/>
          <w:lang w:eastAsia="fr-FR"/>
        </w:rPr>
        <w:t>co</w:t>
      </w:r>
      <w:proofErr w:type="spellEnd"/>
      <w:r w:rsidRPr="000171D2">
        <w:rPr>
          <w:rFonts w:eastAsia="Times New Roman" w:cs="Times New Roman"/>
          <w:spacing w:val="8"/>
          <w:sz w:val="24"/>
          <w:szCs w:val="24"/>
          <w:lang w:eastAsia="fr-FR"/>
        </w:rPr>
        <w:t xml:space="preserve">-construite entre les décideurs, l’ensemble des services des collectivités territoriales et tous les acteurs du territoire (collectivités, acteurs socio-économiques, associations, entreprises, universités, habitants…). </w:t>
      </w:r>
    </w:p>
    <w:p w:rsidR="000171D2" w:rsidRDefault="000171D2" w:rsidP="000171D2">
      <w:pPr>
        <w:shd w:val="clear" w:color="auto" w:fill="FFFFFF"/>
        <w:spacing w:before="60" w:after="60" w:line="240" w:lineRule="auto"/>
        <w:jc w:val="both"/>
        <w:rPr>
          <w:rFonts w:eastAsia="Times New Roman" w:cs="Times New Roman"/>
          <w:spacing w:val="8"/>
          <w:sz w:val="24"/>
          <w:szCs w:val="24"/>
          <w:lang w:eastAsia="fr-FR"/>
        </w:rPr>
      </w:pPr>
      <w:r w:rsidRPr="000171D2">
        <w:rPr>
          <w:rFonts w:eastAsia="Times New Roman" w:cs="Times New Roman"/>
          <w:spacing w:val="8"/>
          <w:sz w:val="24"/>
          <w:szCs w:val="24"/>
          <w:lang w:eastAsia="fr-FR"/>
        </w:rPr>
        <w:t>Le PCAET vise une cohérence entre les actions du territoire en passant au filtre « climat-air-énergie » l'ensemble de ses décisions et politiques afin de passer d'initiatives éparses, engagées au coup par coup, à une politique climat-énergie cohérente, concertée et ambitieuse.</w:t>
      </w:r>
    </w:p>
    <w:p w:rsidR="000171D2" w:rsidRDefault="000171D2" w:rsidP="000171D2">
      <w:pPr>
        <w:shd w:val="clear" w:color="auto" w:fill="FFFFFF"/>
        <w:spacing w:before="60" w:after="60" w:line="240" w:lineRule="auto"/>
        <w:jc w:val="both"/>
        <w:rPr>
          <w:rFonts w:eastAsia="Times New Roman" w:cs="Times New Roman"/>
          <w:spacing w:val="8"/>
          <w:sz w:val="24"/>
          <w:szCs w:val="24"/>
          <w:lang w:eastAsia="fr-FR"/>
        </w:rPr>
      </w:pPr>
    </w:p>
    <w:p w:rsidR="000171D2" w:rsidRPr="000171D2" w:rsidRDefault="000171D2" w:rsidP="000171D2">
      <w:pPr>
        <w:shd w:val="clear" w:color="auto" w:fill="FFFFFF"/>
        <w:spacing w:before="60" w:after="60" w:line="240" w:lineRule="auto"/>
        <w:jc w:val="both"/>
        <w:rPr>
          <w:rFonts w:eastAsia="Times New Roman" w:cs="Times New Roman"/>
          <w:b/>
          <w:spacing w:val="8"/>
          <w:sz w:val="24"/>
          <w:szCs w:val="24"/>
          <w:lang w:eastAsia="fr-FR"/>
        </w:rPr>
      </w:pPr>
      <w:r w:rsidRPr="000171D2">
        <w:rPr>
          <w:rFonts w:eastAsia="Times New Roman" w:cs="Times New Roman"/>
          <w:b/>
          <w:spacing w:val="8"/>
          <w:sz w:val="24"/>
          <w:szCs w:val="24"/>
          <w:lang w:eastAsia="fr-FR"/>
        </w:rPr>
        <w:t>Etat d’avancement en Région Hauts de France</w:t>
      </w:r>
    </w:p>
    <w:p w:rsidR="00A3000B" w:rsidRPr="00A3000B" w:rsidRDefault="00A3000B" w:rsidP="00E43587">
      <w:pPr>
        <w:shd w:val="clear" w:color="auto" w:fill="FFFFFF"/>
        <w:spacing w:before="60" w:after="60" w:line="240" w:lineRule="auto"/>
        <w:jc w:val="both"/>
        <w:rPr>
          <w:rFonts w:eastAsia="Times New Roman" w:cs="Times New Roman"/>
          <w:spacing w:val="8"/>
          <w:sz w:val="24"/>
          <w:szCs w:val="24"/>
          <w:lang w:eastAsia="fr-FR"/>
        </w:rPr>
      </w:pPr>
      <w:r w:rsidRPr="003A4A19">
        <w:rPr>
          <w:rFonts w:eastAsia="Times New Roman" w:cs="Times New Roman"/>
          <w:spacing w:val="8"/>
          <w:sz w:val="24"/>
          <w:szCs w:val="24"/>
          <w:lang w:eastAsia="fr-FR"/>
        </w:rPr>
        <w:t>L</w:t>
      </w:r>
      <w:r w:rsidRPr="00A3000B">
        <w:rPr>
          <w:rFonts w:eastAsia="Times New Roman" w:cs="Times New Roman"/>
          <w:spacing w:val="8"/>
          <w:sz w:val="24"/>
          <w:szCs w:val="24"/>
          <w:lang w:eastAsia="fr-FR"/>
        </w:rPr>
        <w:t>a loi de transition énergétique pour la croissance verte du 17 août 2015</w:t>
      </w:r>
      <w:r w:rsidRPr="003A4A19">
        <w:rPr>
          <w:rFonts w:eastAsia="Times New Roman" w:cs="Times New Roman"/>
          <w:spacing w:val="8"/>
          <w:sz w:val="24"/>
          <w:szCs w:val="24"/>
          <w:lang w:eastAsia="fr-FR"/>
        </w:rPr>
        <w:t xml:space="preserve"> a rendu obligatoire l’élaboration d’un « P</w:t>
      </w:r>
      <w:r w:rsidRPr="00A3000B">
        <w:rPr>
          <w:rFonts w:eastAsia="Times New Roman" w:cs="Times New Roman"/>
          <w:spacing w:val="8"/>
          <w:sz w:val="24"/>
          <w:szCs w:val="24"/>
          <w:lang w:eastAsia="fr-FR"/>
        </w:rPr>
        <w:t>lan climat-air-énergie territorial</w:t>
      </w:r>
      <w:r w:rsidRPr="003A4A19">
        <w:rPr>
          <w:rFonts w:eastAsia="Times New Roman" w:cs="Times New Roman"/>
          <w:spacing w:val="8"/>
          <w:sz w:val="24"/>
          <w:szCs w:val="24"/>
          <w:lang w:eastAsia="fr-FR"/>
        </w:rPr>
        <w:t xml:space="preserve"> » pour les </w:t>
      </w:r>
      <w:r w:rsidRPr="00A3000B">
        <w:rPr>
          <w:rFonts w:eastAsia="Times New Roman" w:cs="Times New Roman"/>
          <w:spacing w:val="8"/>
          <w:sz w:val="24"/>
          <w:szCs w:val="24"/>
          <w:lang w:eastAsia="fr-FR"/>
        </w:rPr>
        <w:t xml:space="preserve"> établissements publics de coopération intercommunale à fiscalité propre (EPCI) de plus de 20 000 habitants</w:t>
      </w:r>
      <w:r w:rsidRPr="003A4A19">
        <w:rPr>
          <w:rFonts w:eastAsia="Times New Roman" w:cs="Times New Roman"/>
          <w:spacing w:val="8"/>
          <w:sz w:val="24"/>
          <w:szCs w:val="24"/>
          <w:lang w:eastAsia="fr-FR"/>
        </w:rPr>
        <w:t>.</w:t>
      </w:r>
    </w:p>
    <w:p w:rsidR="003632E3" w:rsidRPr="003632E3" w:rsidRDefault="00A42D98" w:rsidP="003632E3">
      <w:pPr>
        <w:pStyle w:val="Default"/>
        <w:jc w:val="both"/>
        <w:rPr>
          <w:i/>
          <w:color w:val="00B0F0"/>
          <w:sz w:val="20"/>
          <w:szCs w:val="20"/>
        </w:rPr>
      </w:pPr>
      <w:r>
        <w:rPr>
          <w:rFonts w:asciiTheme="minorHAnsi" w:hAnsiTheme="minorHAnsi"/>
          <w:color w:val="auto"/>
          <w:lang w:eastAsia="fr-FR"/>
        </w:rPr>
        <w:t>Ainsi en Hauts-de-</w:t>
      </w:r>
      <w:r w:rsidR="00A3000B" w:rsidRPr="003A4A19">
        <w:rPr>
          <w:rFonts w:asciiTheme="minorHAnsi" w:hAnsiTheme="minorHAnsi"/>
          <w:color w:val="auto"/>
          <w:lang w:eastAsia="fr-FR"/>
        </w:rPr>
        <w:t>France, 77 EPCI sont obligés par la loi,</w:t>
      </w:r>
      <w:r w:rsidR="00A3000B" w:rsidRPr="003A4A19">
        <w:rPr>
          <w:rFonts w:asciiTheme="minorHAnsi" w:hAnsiTheme="minorHAnsi"/>
          <w:color w:val="auto"/>
        </w:rPr>
        <w:t xml:space="preserve"> et, après délibération et transfert de compétences 62 doivent réaliser un PCAET</w:t>
      </w:r>
      <w:r>
        <w:rPr>
          <w:rFonts w:asciiTheme="minorHAnsi" w:hAnsiTheme="minorHAnsi"/>
          <w:color w:val="auto"/>
        </w:rPr>
        <w:t xml:space="preserve">. </w:t>
      </w:r>
      <w:r w:rsidRPr="00A42D98">
        <w:rPr>
          <w:rFonts w:asciiTheme="minorHAnsi" w:hAnsiTheme="minorHAnsi"/>
          <w:color w:val="FF0000"/>
        </w:rPr>
        <w:t>Lien vers cartothèque carte PCAET</w:t>
      </w:r>
    </w:p>
    <w:p w:rsidR="00A3000B" w:rsidRDefault="00A3000B" w:rsidP="00E43587">
      <w:pPr>
        <w:pStyle w:val="Default"/>
        <w:jc w:val="both"/>
        <w:rPr>
          <w:rFonts w:asciiTheme="minorHAnsi" w:hAnsiTheme="minorHAnsi"/>
          <w:color w:val="auto"/>
        </w:rPr>
      </w:pPr>
    </w:p>
    <w:p w:rsidR="00E43587" w:rsidRPr="003A4A19" w:rsidRDefault="00E43587" w:rsidP="00E43587">
      <w:pPr>
        <w:pStyle w:val="Default"/>
        <w:jc w:val="both"/>
        <w:rPr>
          <w:rFonts w:asciiTheme="minorHAnsi" w:hAnsiTheme="minorHAnsi"/>
          <w:color w:val="auto"/>
        </w:rPr>
      </w:pPr>
      <w:r>
        <w:rPr>
          <w:rFonts w:asciiTheme="minorHAnsi" w:hAnsiTheme="minorHAnsi"/>
          <w:color w:val="auto"/>
        </w:rPr>
        <w:t>A terme la majorité du territoire sera couvert de PCAET.</w:t>
      </w:r>
    </w:p>
    <w:p w:rsidR="003A4A19" w:rsidRDefault="00E43587" w:rsidP="000171D2">
      <w:pPr>
        <w:pStyle w:val="Default"/>
        <w:jc w:val="both"/>
        <w:rPr>
          <w:sz w:val="20"/>
          <w:szCs w:val="20"/>
        </w:rPr>
      </w:pPr>
      <w:r>
        <w:rPr>
          <w:rFonts w:asciiTheme="minorHAnsi" w:hAnsiTheme="minorHAnsi"/>
          <w:color w:val="auto"/>
        </w:rPr>
        <w:t xml:space="preserve">Les PCAET </w:t>
      </w:r>
      <w:r w:rsidR="000171D2" w:rsidRPr="000171D2">
        <w:rPr>
          <w:rFonts w:asciiTheme="minorHAnsi" w:hAnsiTheme="minorHAnsi"/>
          <w:color w:val="auto"/>
        </w:rPr>
        <w:t>doivent être compatibles avec les règles et doivent prendre en compte les</w:t>
      </w:r>
      <w:r w:rsidR="000171D2">
        <w:rPr>
          <w:rFonts w:asciiTheme="minorHAnsi" w:hAnsiTheme="minorHAnsi"/>
          <w:color w:val="auto"/>
        </w:rPr>
        <w:t xml:space="preserve"> </w:t>
      </w:r>
      <w:r w:rsidR="000171D2" w:rsidRPr="000171D2">
        <w:rPr>
          <w:rFonts w:asciiTheme="minorHAnsi" w:hAnsiTheme="minorHAnsi"/>
          <w:color w:val="auto"/>
        </w:rPr>
        <w:t>objectifs du SRADDET</w:t>
      </w:r>
    </w:p>
    <w:p w:rsidR="000171D2" w:rsidRDefault="000171D2" w:rsidP="000171D2">
      <w:pPr>
        <w:pStyle w:val="Default"/>
        <w:jc w:val="both"/>
        <w:rPr>
          <w:rFonts w:asciiTheme="minorHAnsi" w:hAnsiTheme="minorHAnsi"/>
          <w:color w:val="auto"/>
        </w:rPr>
      </w:pPr>
      <w:r>
        <w:rPr>
          <w:rFonts w:asciiTheme="minorHAnsi" w:hAnsiTheme="minorHAnsi"/>
          <w:color w:val="auto"/>
        </w:rPr>
        <w:t xml:space="preserve">De </w:t>
      </w:r>
      <w:r w:rsidRPr="003A4A19">
        <w:rPr>
          <w:rFonts w:asciiTheme="minorHAnsi" w:hAnsiTheme="minorHAnsi"/>
          <w:color w:val="auto"/>
        </w:rPr>
        <w:t>par le décret d’application 28 juin 2016 relatif aux PCAET</w:t>
      </w:r>
      <w:r>
        <w:rPr>
          <w:rFonts w:asciiTheme="minorHAnsi" w:hAnsiTheme="minorHAnsi"/>
          <w:color w:val="auto"/>
        </w:rPr>
        <w:t>, l</w:t>
      </w:r>
      <w:r w:rsidR="00A42D98">
        <w:rPr>
          <w:rFonts w:asciiTheme="minorHAnsi" w:hAnsiTheme="minorHAnsi"/>
          <w:color w:val="auto"/>
        </w:rPr>
        <w:t>a Région Hauts-de-</w:t>
      </w:r>
      <w:r w:rsidRPr="003A4A19">
        <w:rPr>
          <w:rFonts w:asciiTheme="minorHAnsi" w:hAnsiTheme="minorHAnsi"/>
          <w:color w:val="auto"/>
        </w:rPr>
        <w:t>France émet un avis sur chaque PCAET dont elle est saisie</w:t>
      </w:r>
      <w:r>
        <w:rPr>
          <w:rFonts w:asciiTheme="minorHAnsi" w:hAnsiTheme="minorHAnsi"/>
          <w:color w:val="auto"/>
        </w:rPr>
        <w:t xml:space="preserve"> en s’appuyant sur le SRADDET</w:t>
      </w:r>
      <w:r w:rsidRPr="003A4A19">
        <w:rPr>
          <w:rFonts w:asciiTheme="minorHAnsi" w:hAnsiTheme="minorHAnsi"/>
          <w:color w:val="auto"/>
        </w:rPr>
        <w:t>.</w:t>
      </w:r>
    </w:p>
    <w:p w:rsidR="000171D2" w:rsidRDefault="000171D2" w:rsidP="000171D2">
      <w:pPr>
        <w:pStyle w:val="Default"/>
        <w:jc w:val="both"/>
        <w:rPr>
          <w:rFonts w:asciiTheme="minorHAnsi" w:hAnsiTheme="minorHAnsi"/>
          <w:color w:val="auto"/>
        </w:rPr>
      </w:pPr>
    </w:p>
    <w:p w:rsidR="00A3000B" w:rsidRPr="00E43587" w:rsidRDefault="003A4A19" w:rsidP="00E43587">
      <w:pPr>
        <w:pStyle w:val="Default"/>
        <w:jc w:val="both"/>
        <w:rPr>
          <w:rFonts w:asciiTheme="minorHAnsi" w:hAnsiTheme="minorHAnsi"/>
        </w:rPr>
      </w:pPr>
      <w:r w:rsidRPr="00E43587">
        <w:rPr>
          <w:rFonts w:asciiTheme="minorHAnsi" w:hAnsiTheme="minorHAnsi"/>
        </w:rPr>
        <w:t>En mai 2020</w:t>
      </w:r>
      <w:r w:rsidR="00A3000B" w:rsidRPr="00E43587">
        <w:rPr>
          <w:rFonts w:asciiTheme="minorHAnsi" w:hAnsiTheme="minorHAnsi"/>
        </w:rPr>
        <w:t xml:space="preserve">, une quinzaine de PCAET ont été déposés. </w:t>
      </w:r>
    </w:p>
    <w:p w:rsidR="000171D2" w:rsidRDefault="000171D2" w:rsidP="00E43587">
      <w:pPr>
        <w:pStyle w:val="Default"/>
        <w:jc w:val="both"/>
        <w:rPr>
          <w:sz w:val="20"/>
          <w:szCs w:val="20"/>
        </w:rPr>
      </w:pPr>
    </w:p>
    <w:p w:rsidR="000171D2" w:rsidRPr="000171D2" w:rsidRDefault="000171D2" w:rsidP="00E43587">
      <w:pPr>
        <w:pStyle w:val="Default"/>
        <w:jc w:val="both"/>
        <w:rPr>
          <w:rFonts w:asciiTheme="minorHAnsi" w:hAnsiTheme="minorHAnsi"/>
          <w:b/>
          <w:color w:val="auto"/>
        </w:rPr>
      </w:pPr>
      <w:r w:rsidRPr="000171D2">
        <w:rPr>
          <w:rFonts w:asciiTheme="minorHAnsi" w:hAnsiTheme="minorHAnsi"/>
          <w:b/>
          <w:color w:val="auto"/>
        </w:rPr>
        <w:t>Les enjeux en Hauts de France</w:t>
      </w:r>
    </w:p>
    <w:p w:rsidR="000171D2" w:rsidRPr="000171D2" w:rsidRDefault="000171D2" w:rsidP="00E43587">
      <w:pPr>
        <w:pStyle w:val="Default"/>
        <w:jc w:val="both"/>
        <w:rPr>
          <w:rFonts w:asciiTheme="minorHAnsi" w:hAnsiTheme="minorHAnsi"/>
          <w:color w:val="auto"/>
        </w:rPr>
      </w:pPr>
    </w:p>
    <w:p w:rsidR="000171D2" w:rsidRPr="000171D2" w:rsidRDefault="000171D2" w:rsidP="000171D2">
      <w:pPr>
        <w:pStyle w:val="Default"/>
        <w:jc w:val="both"/>
        <w:rPr>
          <w:rFonts w:asciiTheme="minorHAnsi" w:hAnsiTheme="minorHAnsi"/>
          <w:color w:val="auto"/>
          <w:lang w:eastAsia="fr-FR"/>
        </w:rPr>
      </w:pPr>
      <w:r w:rsidRPr="000171D2">
        <w:rPr>
          <w:rFonts w:asciiTheme="minorHAnsi" w:hAnsiTheme="minorHAnsi"/>
          <w:color w:val="auto"/>
          <w:lang w:eastAsia="fr-FR"/>
        </w:rPr>
        <w:t xml:space="preserve">La mise en œuvre des objectifs Climat Air Energie du SRADDET nécessite des transformations rapides des modes de production, de consommations et des comportements de l’ensemble des forces vives régionales et sur tout le territoire régional. C’est un enjeu politique dont la Région se saisit </w:t>
      </w:r>
      <w:r w:rsidR="003632E3">
        <w:rPr>
          <w:rFonts w:asciiTheme="minorHAnsi" w:hAnsiTheme="minorHAnsi"/>
          <w:color w:val="auto"/>
          <w:lang w:eastAsia="fr-FR"/>
        </w:rPr>
        <w:t xml:space="preserve">notamment </w:t>
      </w:r>
      <w:r w:rsidRPr="000171D2">
        <w:rPr>
          <w:rFonts w:asciiTheme="minorHAnsi" w:hAnsiTheme="minorHAnsi"/>
          <w:color w:val="auto"/>
          <w:lang w:eastAsia="fr-FR"/>
        </w:rPr>
        <w:t>en exerçant son rôle de chef de file dans les domaines Climat Air Energie.</w:t>
      </w:r>
    </w:p>
    <w:p w:rsidR="000171D2" w:rsidRPr="000171D2" w:rsidRDefault="000171D2" w:rsidP="000171D2">
      <w:pPr>
        <w:pStyle w:val="Default"/>
        <w:jc w:val="both"/>
        <w:rPr>
          <w:rFonts w:asciiTheme="minorHAnsi" w:hAnsiTheme="minorHAnsi"/>
          <w:color w:val="auto"/>
          <w:lang w:eastAsia="fr-FR"/>
        </w:rPr>
      </w:pPr>
      <w:r w:rsidRPr="000171D2">
        <w:rPr>
          <w:rFonts w:asciiTheme="minorHAnsi" w:hAnsiTheme="minorHAnsi"/>
          <w:color w:val="auto"/>
          <w:lang w:eastAsia="fr-FR"/>
        </w:rPr>
        <w:t xml:space="preserve">Dans le cadre du </w:t>
      </w:r>
      <w:r w:rsidRPr="003632E3">
        <w:rPr>
          <w:rFonts w:asciiTheme="minorHAnsi" w:hAnsiTheme="minorHAnsi"/>
          <w:i/>
          <w:color w:val="00B0F0"/>
          <w:lang w:eastAsia="fr-FR"/>
        </w:rPr>
        <w:t>SRADDET</w:t>
      </w:r>
      <w:r w:rsidR="003632E3" w:rsidRPr="003632E3">
        <w:rPr>
          <w:rFonts w:asciiTheme="minorHAnsi" w:hAnsiTheme="minorHAnsi"/>
          <w:i/>
          <w:color w:val="00B0F0"/>
          <w:highlight w:val="yellow"/>
          <w:lang w:eastAsia="fr-FR"/>
        </w:rPr>
        <w:t>* (lien vers les objectifs CAE du SRADDET</w:t>
      </w:r>
      <w:r w:rsidR="00A42D98" w:rsidRPr="00A42D98">
        <w:rPr>
          <w:rFonts w:asciiTheme="minorHAnsi" w:hAnsiTheme="minorHAnsi"/>
          <w:i/>
          <w:color w:val="00B0F0"/>
          <w:highlight w:val="yellow"/>
          <w:lang w:eastAsia="fr-FR"/>
        </w:rPr>
        <w:sym w:font="Wingdings" w:char="F0E0"/>
      </w:r>
      <w:r w:rsidR="00A42D98">
        <w:rPr>
          <w:rFonts w:asciiTheme="minorHAnsi" w:hAnsiTheme="minorHAnsi"/>
          <w:i/>
          <w:color w:val="00B0F0"/>
          <w:highlight w:val="yellow"/>
          <w:lang w:eastAsia="fr-FR"/>
        </w:rPr>
        <w:t xml:space="preserve"> doc en cours d’écriture</w:t>
      </w:r>
      <w:r w:rsidR="003632E3" w:rsidRPr="003632E3">
        <w:rPr>
          <w:rFonts w:asciiTheme="minorHAnsi" w:hAnsiTheme="minorHAnsi"/>
          <w:i/>
          <w:color w:val="00B0F0"/>
          <w:highlight w:val="yellow"/>
          <w:lang w:eastAsia="fr-FR"/>
        </w:rPr>
        <w:t>)</w:t>
      </w:r>
      <w:r w:rsidRPr="003632E3">
        <w:rPr>
          <w:rFonts w:asciiTheme="minorHAnsi" w:hAnsiTheme="minorHAnsi"/>
          <w:color w:val="auto"/>
          <w:highlight w:val="yellow"/>
          <w:lang w:eastAsia="fr-FR"/>
        </w:rPr>
        <w:t>,</w:t>
      </w:r>
      <w:r w:rsidRPr="000171D2">
        <w:rPr>
          <w:rFonts w:asciiTheme="minorHAnsi" w:hAnsiTheme="minorHAnsi"/>
          <w:color w:val="auto"/>
          <w:lang w:eastAsia="fr-FR"/>
        </w:rPr>
        <w:t xml:space="preserve"> la Région s’est fixée des objectifs à atteindre en matière de réduction des émissions de GES, </w:t>
      </w:r>
      <w:r w:rsidRPr="000171D2">
        <w:rPr>
          <w:rFonts w:asciiTheme="minorHAnsi" w:hAnsiTheme="minorHAnsi"/>
          <w:color w:val="auto"/>
          <w:lang w:eastAsia="fr-FR"/>
        </w:rPr>
        <w:lastRenderedPageBreak/>
        <w:t>d’économie d’énergie et de production d’énergies renouvelables. Elle s’est aussi dotée de règles générales qui s’imposeront aux territoires. Il lui appartient de suivre la mise en œuvre et l’atteinte des objectifs fixés. Elle doit être en mesure de transmettre à l’Etat les informations nécessaires à la réalisation d’analyse, de bilans et d’évaluation prévus par les dispositions nationales et communautaires ainsi que par les conventions internationales.</w:t>
      </w:r>
    </w:p>
    <w:p w:rsidR="00F20631" w:rsidRPr="00F20631" w:rsidRDefault="00F20631" w:rsidP="00786046">
      <w:pPr>
        <w:pStyle w:val="NormalWeb"/>
        <w:spacing w:before="0" w:beforeAutospacing="0" w:after="0" w:afterAutospacing="0"/>
        <w:jc w:val="both"/>
        <w:rPr>
          <w:rFonts w:asciiTheme="minorHAnsi" w:hAnsiTheme="minorHAnsi"/>
          <w:sz w:val="22"/>
          <w:szCs w:val="22"/>
        </w:rPr>
      </w:pPr>
    </w:p>
    <w:p w:rsidR="00786046" w:rsidRPr="00F20631" w:rsidRDefault="00786046" w:rsidP="00D63288">
      <w:pPr>
        <w:autoSpaceDE w:val="0"/>
        <w:autoSpaceDN w:val="0"/>
        <w:adjustRightInd w:val="0"/>
        <w:spacing w:after="0" w:line="240" w:lineRule="auto"/>
        <w:rPr>
          <w:rFonts w:cs="Arial"/>
        </w:rPr>
      </w:pPr>
    </w:p>
    <w:p w:rsidR="00D63288" w:rsidRPr="00F20631" w:rsidRDefault="00D63288" w:rsidP="00D63288">
      <w:pPr>
        <w:autoSpaceDE w:val="0"/>
        <w:autoSpaceDN w:val="0"/>
        <w:adjustRightInd w:val="0"/>
        <w:spacing w:after="0" w:line="240" w:lineRule="auto"/>
        <w:rPr>
          <w:rFonts w:cs="Arial"/>
        </w:rPr>
      </w:pPr>
    </w:p>
    <w:p w:rsidR="007A3414" w:rsidRDefault="00D63288" w:rsidP="00D63288">
      <w:pPr>
        <w:autoSpaceDE w:val="0"/>
        <w:autoSpaceDN w:val="0"/>
        <w:adjustRightInd w:val="0"/>
        <w:spacing w:after="0" w:line="240" w:lineRule="auto"/>
        <w:rPr>
          <w:rFonts w:cs="Arial"/>
        </w:rPr>
      </w:pPr>
      <w:r w:rsidRPr="00F20631">
        <w:rPr>
          <w:rFonts w:cs="Arial"/>
        </w:rPr>
        <w:lastRenderedPageBreak/>
        <w:t xml:space="preserve"> </w:t>
      </w:r>
      <w:r w:rsidR="00B475F7">
        <w:rPr>
          <w:noProof/>
          <w:lang w:eastAsia="fr-FR"/>
        </w:rPr>
        <w:drawing>
          <wp:inline distT="0" distB="0" distL="0" distR="0">
            <wp:extent cx="5760720" cy="8146415"/>
            <wp:effectExtent l="0" t="0" r="0" b="698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3_carte_avancement_PCAET_HDF_2019020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8146415"/>
                    </a:xfrm>
                    <a:prstGeom prst="rect">
                      <a:avLst/>
                    </a:prstGeom>
                  </pic:spPr>
                </pic:pic>
              </a:graphicData>
            </a:graphic>
          </wp:inline>
        </w:drawing>
      </w:r>
    </w:p>
    <w:p w:rsidR="007D46EB" w:rsidRDefault="007D46EB" w:rsidP="00D63288">
      <w:pPr>
        <w:autoSpaceDE w:val="0"/>
        <w:autoSpaceDN w:val="0"/>
        <w:adjustRightInd w:val="0"/>
        <w:spacing w:after="0" w:line="240" w:lineRule="auto"/>
        <w:rPr>
          <w:rFonts w:cs="Arial"/>
        </w:rPr>
      </w:pPr>
    </w:p>
    <w:p w:rsidR="007D46EB" w:rsidRDefault="007D46EB" w:rsidP="00D63288">
      <w:pPr>
        <w:autoSpaceDE w:val="0"/>
        <w:autoSpaceDN w:val="0"/>
        <w:adjustRightInd w:val="0"/>
        <w:spacing w:after="0" w:line="240" w:lineRule="auto"/>
      </w:pPr>
      <w:r>
        <w:rPr>
          <w:noProof/>
          <w:lang w:eastAsia="fr-FR"/>
        </w:rPr>
        <w:lastRenderedPageBreak/>
        <w:drawing>
          <wp:inline distT="0" distB="0" distL="0" distR="0" wp14:anchorId="51A6BE8A" wp14:editId="387333EF">
            <wp:extent cx="5760720" cy="387413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874135"/>
                    </a:xfrm>
                    <a:prstGeom prst="rect">
                      <a:avLst/>
                    </a:prstGeom>
                  </pic:spPr>
                </pic:pic>
              </a:graphicData>
            </a:graphic>
          </wp:inline>
        </w:drawing>
      </w:r>
    </w:p>
    <w:p w:rsidR="007D46EB" w:rsidRDefault="007D46EB" w:rsidP="00D63288">
      <w:pPr>
        <w:autoSpaceDE w:val="0"/>
        <w:autoSpaceDN w:val="0"/>
        <w:adjustRightInd w:val="0"/>
        <w:spacing w:after="0" w:line="240" w:lineRule="auto"/>
      </w:pPr>
      <w:r>
        <w:t>Pour les territoires adhérents d’</w:t>
      </w:r>
      <w:proofErr w:type="spellStart"/>
      <w:r>
        <w:t>Atmo</w:t>
      </w:r>
      <w:proofErr w:type="spellEnd"/>
      <w:r>
        <w:t>…</w:t>
      </w:r>
      <w:r w:rsidR="00DA3068">
        <w:t xml:space="preserve"> (</w:t>
      </w:r>
      <w:proofErr w:type="spellStart"/>
      <w:r w:rsidR="00DA3068">
        <w:t>cf</w:t>
      </w:r>
      <w:proofErr w:type="spellEnd"/>
      <w:r w:rsidR="00DA3068">
        <w:t xml:space="preserve"> Pacte associatif)</w:t>
      </w:r>
    </w:p>
    <w:p w:rsidR="007D46EB" w:rsidRPr="00F20631" w:rsidRDefault="007D46EB" w:rsidP="00D63288">
      <w:pPr>
        <w:autoSpaceDE w:val="0"/>
        <w:autoSpaceDN w:val="0"/>
        <w:adjustRightInd w:val="0"/>
        <w:spacing w:after="0" w:line="240" w:lineRule="auto"/>
      </w:pPr>
    </w:p>
    <w:sectPr w:rsidR="007D46EB" w:rsidRPr="00F20631" w:rsidSect="00FE4F69">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9E2" w:rsidRDefault="001859E2" w:rsidP="00707F6D">
      <w:pPr>
        <w:spacing w:after="0" w:line="240" w:lineRule="auto"/>
      </w:pPr>
      <w:r>
        <w:separator/>
      </w:r>
    </w:p>
  </w:endnote>
  <w:endnote w:type="continuationSeparator" w:id="0">
    <w:p w:rsidR="001859E2" w:rsidRDefault="001859E2" w:rsidP="00707F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D98" w:rsidRDefault="00A42D98">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07228517"/>
      <w:docPartObj>
        <w:docPartGallery w:val="Page Numbers (Bottom of Page)"/>
        <w:docPartUnique/>
      </w:docPartObj>
    </w:sdtPr>
    <w:sdtEndPr/>
    <w:sdtContent>
      <w:p w:rsidR="00FE4F69" w:rsidRDefault="00FE4F69">
        <w:pPr>
          <w:pStyle w:val="Pieddepage"/>
          <w:jc w:val="right"/>
        </w:pPr>
        <w:r>
          <w:fldChar w:fldCharType="begin"/>
        </w:r>
        <w:r>
          <w:instrText>PAGE   \* MERGEFORMAT</w:instrText>
        </w:r>
        <w:r>
          <w:fldChar w:fldCharType="separate"/>
        </w:r>
        <w:r w:rsidR="006640E6">
          <w:rPr>
            <w:noProof/>
          </w:rPr>
          <w:t>2</w:t>
        </w:r>
        <w:r>
          <w:fldChar w:fldCharType="end"/>
        </w:r>
      </w:p>
    </w:sdtContent>
  </w:sdt>
  <w:p w:rsidR="00707F6D" w:rsidRDefault="00707F6D">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875529"/>
      <w:docPartObj>
        <w:docPartGallery w:val="Page Numbers (Bottom of Page)"/>
        <w:docPartUnique/>
      </w:docPartObj>
    </w:sdtPr>
    <w:sdtEndPr/>
    <w:sdtContent>
      <w:p w:rsidR="00C36F26" w:rsidRDefault="00C36F26">
        <w:pPr>
          <w:pStyle w:val="Pieddepage"/>
          <w:jc w:val="right"/>
        </w:pPr>
        <w:r>
          <w:fldChar w:fldCharType="begin"/>
        </w:r>
        <w:r>
          <w:instrText>PAGE   \* MERGEFORMAT</w:instrText>
        </w:r>
        <w:r>
          <w:fldChar w:fldCharType="separate"/>
        </w:r>
        <w:r w:rsidR="006640E6">
          <w:rPr>
            <w:noProof/>
          </w:rPr>
          <w:t>1</w:t>
        </w:r>
        <w:r>
          <w:fldChar w:fldCharType="end"/>
        </w:r>
      </w:p>
    </w:sdtContent>
  </w:sdt>
  <w:p w:rsidR="00C36F26" w:rsidRDefault="00C36F2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9E2" w:rsidRDefault="001859E2" w:rsidP="00707F6D">
      <w:pPr>
        <w:spacing w:after="0" w:line="240" w:lineRule="auto"/>
      </w:pPr>
      <w:r>
        <w:separator/>
      </w:r>
    </w:p>
  </w:footnote>
  <w:footnote w:type="continuationSeparator" w:id="0">
    <w:p w:rsidR="001859E2" w:rsidRDefault="001859E2" w:rsidP="00707F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D98" w:rsidRDefault="00A42D98">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F69" w:rsidRPr="00FE4F69" w:rsidRDefault="00FE4F69">
    <w:pPr>
      <w:pStyle w:val="En-tte"/>
      <w:rPr>
        <w:sz w:val="16"/>
        <w:szCs w:val="16"/>
      </w:rPr>
    </w:pPr>
    <w:bookmarkStart w:id="0" w:name="_GoBack"/>
    <w:bookmarkEnd w:id="0"/>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2D98" w:rsidRPr="006640E6" w:rsidRDefault="00A42D98" w:rsidP="006640E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2B2CE9"/>
    <w:multiLevelType w:val="hybridMultilevel"/>
    <w:tmpl w:val="29063966"/>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95720F"/>
    <w:multiLevelType w:val="hybridMultilevel"/>
    <w:tmpl w:val="C1CAEC7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3D336C5"/>
    <w:multiLevelType w:val="hybridMultilevel"/>
    <w:tmpl w:val="F33AB1E4"/>
    <w:lvl w:ilvl="0" w:tplc="040C000B">
      <w:start w:val="1"/>
      <w:numFmt w:val="bullet"/>
      <w:lvlText w:val=""/>
      <w:lvlJc w:val="left"/>
      <w:pPr>
        <w:ind w:left="768" w:hanging="360"/>
      </w:pPr>
      <w:rPr>
        <w:rFonts w:ascii="Wingdings" w:hAnsi="Wingdings" w:hint="default"/>
      </w:rPr>
    </w:lvl>
    <w:lvl w:ilvl="1" w:tplc="040C0003">
      <w:start w:val="1"/>
      <w:numFmt w:val="bullet"/>
      <w:lvlText w:val="o"/>
      <w:lvlJc w:val="left"/>
      <w:pPr>
        <w:ind w:left="1488" w:hanging="360"/>
      </w:pPr>
      <w:rPr>
        <w:rFonts w:ascii="Courier New" w:hAnsi="Courier New" w:cs="Courier New" w:hint="default"/>
      </w:rPr>
    </w:lvl>
    <w:lvl w:ilvl="2" w:tplc="01EE85DC">
      <w:start w:val="1"/>
      <w:numFmt w:val="bullet"/>
      <w:lvlText w:val="-"/>
      <w:lvlJc w:val="left"/>
      <w:pPr>
        <w:ind w:left="2208" w:hanging="360"/>
      </w:pPr>
      <w:rPr>
        <w:rFonts w:ascii="Calibri" w:eastAsiaTheme="minorHAnsi" w:hAnsi="Calibri" w:cstheme="minorBidi"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cs="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cs="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3" w15:restartNumberingAfterBreak="0">
    <w:nsid w:val="1AB36C63"/>
    <w:multiLevelType w:val="hybridMultilevel"/>
    <w:tmpl w:val="BCFECD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0EB10D3"/>
    <w:multiLevelType w:val="hybridMultilevel"/>
    <w:tmpl w:val="5880BD68"/>
    <w:lvl w:ilvl="0" w:tplc="040C0003">
      <w:start w:val="1"/>
      <w:numFmt w:val="bullet"/>
      <w:lvlText w:val="o"/>
      <w:lvlJc w:val="left"/>
      <w:pPr>
        <w:ind w:left="2136" w:hanging="360"/>
      </w:pPr>
      <w:rPr>
        <w:rFonts w:ascii="Courier New" w:hAnsi="Courier New" w:cs="Courier New"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5" w15:restartNumberingAfterBreak="0">
    <w:nsid w:val="243D7E1F"/>
    <w:multiLevelType w:val="hybridMultilevel"/>
    <w:tmpl w:val="66CAC07E"/>
    <w:lvl w:ilvl="0" w:tplc="3E2A5050">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5E048C0"/>
    <w:multiLevelType w:val="hybridMultilevel"/>
    <w:tmpl w:val="511C08AE"/>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217684"/>
    <w:multiLevelType w:val="hybridMultilevel"/>
    <w:tmpl w:val="7CF0A53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063A63"/>
    <w:multiLevelType w:val="hybridMultilevel"/>
    <w:tmpl w:val="57FCF5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12A5D3C"/>
    <w:multiLevelType w:val="multilevel"/>
    <w:tmpl w:val="4420E1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A661476"/>
    <w:multiLevelType w:val="hybridMultilevel"/>
    <w:tmpl w:val="F178103C"/>
    <w:lvl w:ilvl="0" w:tplc="8B48EEC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E902F3"/>
    <w:multiLevelType w:val="multilevel"/>
    <w:tmpl w:val="9522B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8"/>
  </w:num>
  <w:num w:numId="4">
    <w:abstractNumId w:val="10"/>
  </w:num>
  <w:num w:numId="5">
    <w:abstractNumId w:val="2"/>
  </w:num>
  <w:num w:numId="6">
    <w:abstractNumId w:val="7"/>
  </w:num>
  <w:num w:numId="7">
    <w:abstractNumId w:val="0"/>
  </w:num>
  <w:num w:numId="8">
    <w:abstractNumId w:val="6"/>
  </w:num>
  <w:num w:numId="9">
    <w:abstractNumId w:val="3"/>
  </w:num>
  <w:num w:numId="10">
    <w:abstractNumId w:val="4"/>
  </w:num>
  <w:num w:numId="11">
    <w:abstractNumId w:val="5"/>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3414"/>
    <w:rsid w:val="000171D2"/>
    <w:rsid w:val="000408BA"/>
    <w:rsid w:val="00061F95"/>
    <w:rsid w:val="00073321"/>
    <w:rsid w:val="000F4A7A"/>
    <w:rsid w:val="0011778E"/>
    <w:rsid w:val="00121F89"/>
    <w:rsid w:val="00133EA8"/>
    <w:rsid w:val="00162E73"/>
    <w:rsid w:val="001859E2"/>
    <w:rsid w:val="00192451"/>
    <w:rsid w:val="001B6AD7"/>
    <w:rsid w:val="001D7475"/>
    <w:rsid w:val="001E6E9D"/>
    <w:rsid w:val="00217905"/>
    <w:rsid w:val="00254AE8"/>
    <w:rsid w:val="00274EB5"/>
    <w:rsid w:val="00287E79"/>
    <w:rsid w:val="00293630"/>
    <w:rsid w:val="003632E3"/>
    <w:rsid w:val="003A4A19"/>
    <w:rsid w:val="003A7061"/>
    <w:rsid w:val="0040448B"/>
    <w:rsid w:val="00425D50"/>
    <w:rsid w:val="00467AA6"/>
    <w:rsid w:val="0047113C"/>
    <w:rsid w:val="00471BF1"/>
    <w:rsid w:val="004F34A4"/>
    <w:rsid w:val="00592714"/>
    <w:rsid w:val="0061611D"/>
    <w:rsid w:val="006640E6"/>
    <w:rsid w:val="006B3870"/>
    <w:rsid w:val="006B3F13"/>
    <w:rsid w:val="006C21CA"/>
    <w:rsid w:val="006C2888"/>
    <w:rsid w:val="006D6C4D"/>
    <w:rsid w:val="00707F6D"/>
    <w:rsid w:val="00786046"/>
    <w:rsid w:val="007A3414"/>
    <w:rsid w:val="007D46EB"/>
    <w:rsid w:val="008279BE"/>
    <w:rsid w:val="00842EA6"/>
    <w:rsid w:val="00891312"/>
    <w:rsid w:val="008E137B"/>
    <w:rsid w:val="00900D00"/>
    <w:rsid w:val="0098329E"/>
    <w:rsid w:val="009D1894"/>
    <w:rsid w:val="009E14CC"/>
    <w:rsid w:val="009E1CFC"/>
    <w:rsid w:val="00A3000B"/>
    <w:rsid w:val="00A42D98"/>
    <w:rsid w:val="00AC48A7"/>
    <w:rsid w:val="00AF644A"/>
    <w:rsid w:val="00AF7B4F"/>
    <w:rsid w:val="00B00198"/>
    <w:rsid w:val="00B0276D"/>
    <w:rsid w:val="00B0588E"/>
    <w:rsid w:val="00B276F9"/>
    <w:rsid w:val="00B475F7"/>
    <w:rsid w:val="00B86881"/>
    <w:rsid w:val="00B92E3D"/>
    <w:rsid w:val="00B96BF9"/>
    <w:rsid w:val="00BB5D62"/>
    <w:rsid w:val="00BE41F7"/>
    <w:rsid w:val="00C10843"/>
    <w:rsid w:val="00C273DD"/>
    <w:rsid w:val="00C36F26"/>
    <w:rsid w:val="00C81C34"/>
    <w:rsid w:val="00C926F6"/>
    <w:rsid w:val="00CB1C1B"/>
    <w:rsid w:val="00D63288"/>
    <w:rsid w:val="00D719E6"/>
    <w:rsid w:val="00D84951"/>
    <w:rsid w:val="00D84DBA"/>
    <w:rsid w:val="00D94526"/>
    <w:rsid w:val="00D97B37"/>
    <w:rsid w:val="00DA3068"/>
    <w:rsid w:val="00E36E8B"/>
    <w:rsid w:val="00E43587"/>
    <w:rsid w:val="00E57BF9"/>
    <w:rsid w:val="00E71EAA"/>
    <w:rsid w:val="00E80E5E"/>
    <w:rsid w:val="00EA1AD5"/>
    <w:rsid w:val="00EB0AC3"/>
    <w:rsid w:val="00ED4801"/>
    <w:rsid w:val="00F20631"/>
    <w:rsid w:val="00FB1A93"/>
    <w:rsid w:val="00FE4F6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A7FF0953-1121-4D13-8C91-AA4A0094C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8329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11778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274EB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B92E3D"/>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86046"/>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2Car">
    <w:name w:val="Titre 2 Car"/>
    <w:basedOn w:val="Policepardfaut"/>
    <w:link w:val="Titre2"/>
    <w:uiPriority w:val="9"/>
    <w:rsid w:val="0011778E"/>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B0AC3"/>
    <w:pPr>
      <w:ind w:left="720"/>
      <w:contextualSpacing/>
    </w:pPr>
  </w:style>
  <w:style w:type="paragraph" w:styleId="En-tte">
    <w:name w:val="header"/>
    <w:basedOn w:val="Normal"/>
    <w:link w:val="En-tteCar"/>
    <w:uiPriority w:val="99"/>
    <w:unhideWhenUsed/>
    <w:rsid w:val="00707F6D"/>
    <w:pPr>
      <w:tabs>
        <w:tab w:val="center" w:pos="4536"/>
        <w:tab w:val="right" w:pos="9072"/>
      </w:tabs>
      <w:spacing w:after="0" w:line="240" w:lineRule="auto"/>
    </w:pPr>
  </w:style>
  <w:style w:type="character" w:customStyle="1" w:styleId="En-tteCar">
    <w:name w:val="En-tête Car"/>
    <w:basedOn w:val="Policepardfaut"/>
    <w:link w:val="En-tte"/>
    <w:uiPriority w:val="99"/>
    <w:rsid w:val="00707F6D"/>
  </w:style>
  <w:style w:type="paragraph" w:styleId="Pieddepage">
    <w:name w:val="footer"/>
    <w:basedOn w:val="Normal"/>
    <w:link w:val="PieddepageCar"/>
    <w:uiPriority w:val="99"/>
    <w:unhideWhenUsed/>
    <w:rsid w:val="00707F6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07F6D"/>
  </w:style>
  <w:style w:type="paragraph" w:styleId="Textedebulles">
    <w:name w:val="Balloon Text"/>
    <w:basedOn w:val="Normal"/>
    <w:link w:val="TextedebullesCar"/>
    <w:uiPriority w:val="99"/>
    <w:semiHidden/>
    <w:unhideWhenUsed/>
    <w:rsid w:val="00E71E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E71EAA"/>
    <w:rPr>
      <w:rFonts w:ascii="Segoe UI" w:hAnsi="Segoe UI" w:cs="Segoe UI"/>
      <w:sz w:val="18"/>
      <w:szCs w:val="18"/>
    </w:rPr>
  </w:style>
  <w:style w:type="character" w:customStyle="1" w:styleId="Titre1Car">
    <w:name w:val="Titre 1 Car"/>
    <w:basedOn w:val="Policepardfaut"/>
    <w:link w:val="Titre1"/>
    <w:uiPriority w:val="9"/>
    <w:rsid w:val="0098329E"/>
    <w:rPr>
      <w:rFonts w:asciiTheme="majorHAnsi" w:eastAsiaTheme="majorEastAsia" w:hAnsiTheme="majorHAnsi" w:cstheme="majorBidi"/>
      <w:color w:val="2E74B5" w:themeColor="accent1" w:themeShade="BF"/>
      <w:sz w:val="32"/>
      <w:szCs w:val="32"/>
    </w:rPr>
  </w:style>
  <w:style w:type="paragraph" w:styleId="Titre">
    <w:name w:val="Title"/>
    <w:basedOn w:val="Normal"/>
    <w:next w:val="Normal"/>
    <w:link w:val="TitreCar"/>
    <w:uiPriority w:val="10"/>
    <w:qFormat/>
    <w:rsid w:val="00274E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274EB5"/>
    <w:rPr>
      <w:rFonts w:asciiTheme="majorHAnsi" w:eastAsiaTheme="majorEastAsia" w:hAnsiTheme="majorHAnsi" w:cstheme="majorBidi"/>
      <w:spacing w:val="-10"/>
      <w:kern w:val="28"/>
      <w:sz w:val="56"/>
      <w:szCs w:val="56"/>
    </w:rPr>
  </w:style>
  <w:style w:type="character" w:customStyle="1" w:styleId="Titre3Car">
    <w:name w:val="Titre 3 Car"/>
    <w:basedOn w:val="Policepardfaut"/>
    <w:link w:val="Titre3"/>
    <w:uiPriority w:val="9"/>
    <w:rsid w:val="00274EB5"/>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rsid w:val="00B92E3D"/>
    <w:rPr>
      <w:rFonts w:asciiTheme="majorHAnsi" w:eastAsiaTheme="majorEastAsia" w:hAnsiTheme="majorHAnsi" w:cstheme="majorBidi"/>
      <w:i/>
      <w:iCs/>
      <w:color w:val="2E74B5" w:themeColor="accent1" w:themeShade="BF"/>
    </w:rPr>
  </w:style>
  <w:style w:type="character" w:styleId="Numrodepage">
    <w:name w:val="page number"/>
    <w:basedOn w:val="Policepardfaut"/>
    <w:uiPriority w:val="99"/>
    <w:unhideWhenUsed/>
    <w:rsid w:val="00FE4F69"/>
  </w:style>
  <w:style w:type="paragraph" w:customStyle="1" w:styleId="Default">
    <w:name w:val="Default"/>
    <w:rsid w:val="00A3000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892035">
      <w:bodyDiv w:val="1"/>
      <w:marLeft w:val="0"/>
      <w:marRight w:val="0"/>
      <w:marTop w:val="0"/>
      <w:marBottom w:val="0"/>
      <w:divBdr>
        <w:top w:val="none" w:sz="0" w:space="0" w:color="auto"/>
        <w:left w:val="none" w:sz="0" w:space="0" w:color="auto"/>
        <w:bottom w:val="none" w:sz="0" w:space="0" w:color="auto"/>
        <w:right w:val="none" w:sz="0" w:space="0" w:color="auto"/>
      </w:divBdr>
    </w:div>
    <w:div w:id="883713120">
      <w:bodyDiv w:val="1"/>
      <w:marLeft w:val="0"/>
      <w:marRight w:val="0"/>
      <w:marTop w:val="0"/>
      <w:marBottom w:val="0"/>
      <w:divBdr>
        <w:top w:val="none" w:sz="0" w:space="0" w:color="auto"/>
        <w:left w:val="none" w:sz="0" w:space="0" w:color="auto"/>
        <w:bottom w:val="none" w:sz="0" w:space="0" w:color="auto"/>
        <w:right w:val="none" w:sz="0" w:space="0" w:color="auto"/>
      </w:divBdr>
    </w:div>
    <w:div w:id="1019502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89041-6AA6-45ED-B322-704029042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478</Words>
  <Characters>2629</Characters>
  <Application>Microsoft Office Word</Application>
  <DocSecurity>0</DocSecurity>
  <Lines>21</Lines>
  <Paragraphs>6</Paragraphs>
  <ScaleCrop>false</ScaleCrop>
  <HeadingPairs>
    <vt:vector size="2" baseType="variant">
      <vt:variant>
        <vt:lpstr>Titre</vt:lpstr>
      </vt:variant>
      <vt:variant>
        <vt:i4>1</vt:i4>
      </vt:variant>
    </vt:vector>
  </HeadingPairs>
  <TitlesOfParts>
    <vt:vector size="1" baseType="lpstr">
      <vt:lpstr/>
    </vt:vector>
  </TitlesOfParts>
  <Company>Région Hauts-de-France</Company>
  <LinksUpToDate>false</LinksUpToDate>
  <CharactersWithSpaces>3101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MANDARON</dc:creator>
  <cp:keywords/>
  <dc:description/>
  <cp:lastModifiedBy>Sylvie DELBART</cp:lastModifiedBy>
  <cp:revision>4</cp:revision>
  <cp:lastPrinted>2019-05-21T12:12:00Z</cp:lastPrinted>
  <dcterms:created xsi:type="dcterms:W3CDTF">2020-05-20T15:44:00Z</dcterms:created>
  <dcterms:modified xsi:type="dcterms:W3CDTF">2020-06-02T09:27:00Z</dcterms:modified>
</cp:coreProperties>
</file>